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proofErr w:type="gramEnd"/>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proofErr w:type="gramEnd"/>
    </w:p>
    <w:p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567C53">
        <w:rPr>
          <w:sz w:val="20"/>
          <w:szCs w:val="20"/>
          <w:lang w:val="hu-HU" w:eastAsia="en-US"/>
        </w:rPr>
        <w:t xml:space="preserve">□ </w:t>
      </w:r>
      <w:r>
        <w:rPr>
          <w:rFonts w:eastAsiaTheme="minorHAnsi" w:cs="Times New Roman"/>
          <w:sz w:val="24"/>
          <w:szCs w:val="24"/>
          <w:lang w:val="hu-HU" w:eastAsia="en-US"/>
        </w:rPr>
        <w:t>Tartózkodási helye:………………………………………………………..</w:t>
      </w:r>
    </w:p>
    <w:p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.1. □ szabad mozgás és tartózkodás jogával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.2. □ EU kék kártyával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.3. □ bevándorolt/letelepedett,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.4. □ menekült/oltalmazott/hontalan.</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1.2.5.1. □ egyedülálló,</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1.2.5.2. □ házastársával/élettársával együtt élő.</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tblPr>
      <w:tblGrid>
        <w:gridCol w:w="696"/>
        <w:gridCol w:w="2978"/>
        <w:gridCol w:w="2978"/>
        <w:gridCol w:w="2978"/>
      </w:tblGrid>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tc>
          <w:tcPr>
            <w:tcW w:w="696"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tc>
          <w:tcPr>
            <w:tcW w:w="696"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rsidR="006515E7"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rsidR="00A6552D" w:rsidRPr="006515E7"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 Tudomásul veszem,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3.2. Hozzájárulok a kérelemben szereplő adatoknak a szociális igazgatási eljárás során történő felhasználásához.</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 xml:space="preserve">3.3. </w:t>
      </w:r>
      <w:r w:rsidRPr="00A6552D">
        <w:rPr>
          <w:rFonts w:eastAsiaTheme="minorHAnsi" w:cs="Times New Roman"/>
          <w:i/>
          <w:iCs/>
          <w:sz w:val="24"/>
          <w:szCs w:val="24"/>
          <w:lang w:val="hu-HU" w:eastAsia="en-US"/>
        </w:rPr>
        <w:t>(A kérelmező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3.3.1.* életvitelszerűen a lakóhelyemen/a tartózkodási helyemen élek (a megfelelő rész aláhúzandó),</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rsidR="00AD4B60" w:rsidRPr="00A6552D" w:rsidRDefault="00AD4B60"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3.3.3.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663D86">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igen</w:t>
      </w:r>
      <w:proofErr w:type="gramEnd"/>
      <w:r w:rsidRPr="00AD4B60">
        <w:rPr>
          <w:rFonts w:eastAsiaTheme="minorHAnsi" w:cs="Times New Roman"/>
          <w:sz w:val="24"/>
          <w:szCs w:val="24"/>
          <w:lang w:val="hu-HU" w:eastAsia="en-US"/>
        </w:rPr>
        <w:t xml:space="preserve">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rsidR="00AD4B60" w:rsidRPr="00A6552D" w:rsidRDefault="00D22A69"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3.3.4. 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663D86">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3.3.3.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w:t>
      </w:r>
      <w:r w:rsidR="00663D86">
        <w:rPr>
          <w:rFonts w:eastAsiaTheme="minorHAnsi" w:cs="Times New Roman"/>
          <w:sz w:val="24"/>
          <w:szCs w:val="24"/>
          <w:lang w:val="hu-HU" w:eastAsia="en-US"/>
        </w:rPr>
        <w:t>5</w:t>
      </w:r>
      <w:r w:rsidRPr="00A6552D">
        <w:rPr>
          <w:rFonts w:eastAsiaTheme="minorHAnsi" w:cs="Times New Roman"/>
          <w:sz w:val="24"/>
          <w:szCs w:val="24"/>
          <w:lang w:val="hu-HU" w:eastAsia="en-US"/>
        </w:rPr>
        <w:t>. a kérelemben közölt adatok a valóságnak megfelelnek.</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Pr="00A6552D"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lastRenderedPageBreak/>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.1.* életvitelszerűen a lakóhelyemen/a tartózkodási helyemen élek (a megfelelő rész aláhúzandó), és</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.2. a kérelemben közölt adatok a valóságnak megfelelnek.</w:t>
      </w:r>
    </w:p>
    <w:p w:rsidR="00A6552D" w:rsidRPr="00A6552D"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tblPr>
      <w:tblGrid>
        <w:gridCol w:w="4818"/>
        <w:gridCol w:w="4818"/>
      </w:tblGrid>
      <w:tr w:rsidR="006515E7" w:rsidRPr="006515E7">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bookmarkStart w:id="0" w:name="_GoBack"/>
            <w:bookmarkEnd w:id="0"/>
            <w:r w:rsidRPr="006515E7">
              <w:rPr>
                <w:rFonts w:eastAsiaTheme="minorHAnsi" w:cs="Times New Roman"/>
                <w:sz w:val="20"/>
                <w:szCs w:val="20"/>
                <w:lang w:val="hu-HU" w:eastAsia="en-US"/>
              </w:rPr>
              <w:t xml:space="preserve"> ..................................................................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rsidR="006515E7" w:rsidRPr="006515E7" w:rsidRDefault="006515E7"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rsidR="00FB4F4A" w:rsidRPr="00FB4F4A"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t>4.1. A személyi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 xml:space="preserve">4.2.3. </w:t>
      </w:r>
      <w:proofErr w:type="gramStart"/>
      <w:r w:rsidRPr="00FB4F4A">
        <w:rPr>
          <w:rFonts w:eastAsiaTheme="minorHAnsi" w:cs="Times New Roman"/>
          <w:lang w:val="hu-HU" w:eastAsia="en-US"/>
        </w:rPr>
        <w:t xml:space="preserve">Nem minősül jövedelemnek, így jövedelemként nem kell feltüntetni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jubileumi</w:t>
      </w:r>
      <w:proofErr w:type="gramEnd"/>
      <w:r w:rsidRPr="00FB4F4A">
        <w:rPr>
          <w:rFonts w:eastAsiaTheme="minorHAnsi" w:cs="Times New Roman"/>
          <w:lang w:val="hu-HU" w:eastAsia="en-US"/>
        </w:rPr>
        <w:t xml:space="preserve">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 xml:space="preserve">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w:t>
      </w:r>
      <w:r w:rsidRPr="00FB4F4A">
        <w:rPr>
          <w:rFonts w:eastAsiaTheme="minorHAnsi" w:cs="Times New Roman"/>
          <w:lang w:val="hu-HU" w:eastAsia="en-US"/>
        </w:rPr>
        <w:lastRenderedPageBreak/>
        <w:t>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p w:rsidR="00FB4F4A" w:rsidRDefault="00FB4F4A" w:rsidP="00FB4F4A">
      <w:pPr>
        <w:tabs>
          <w:tab w:val="clear" w:pos="850"/>
          <w:tab w:val="clear" w:pos="1191"/>
          <w:tab w:val="clear" w:pos="1531"/>
        </w:tabs>
        <w:autoSpaceDE w:val="0"/>
        <w:autoSpaceDN w:val="0"/>
        <w:adjustRightInd w:val="0"/>
        <w:rPr>
          <w:rFonts w:eastAsia="Times New Roman" w:cs="Times New Roman"/>
          <w:i/>
          <w:lang w:val="hu-HU" w:eastAsia="hu-HU"/>
        </w:rPr>
      </w:pPr>
    </w:p>
    <w:p w:rsidR="009B1102" w:rsidRPr="00FB4F4A" w:rsidRDefault="009B1102" w:rsidP="00FB4F4A">
      <w:pPr>
        <w:tabs>
          <w:tab w:val="clear" w:pos="850"/>
          <w:tab w:val="clear" w:pos="1191"/>
          <w:tab w:val="clear" w:pos="1531"/>
        </w:tabs>
        <w:autoSpaceDE w:val="0"/>
        <w:autoSpaceDN w:val="0"/>
        <w:adjustRightInd w:val="0"/>
        <w:rPr>
          <w:rFonts w:eastAsia="Times New Roman" w:cs="Times New Roman"/>
          <w:i/>
          <w:lang w:val="hu-HU" w:eastAsia="hu-HU"/>
        </w:rPr>
      </w:pPr>
    </w:p>
    <w:p w:rsidR="000B6FB6" w:rsidRPr="002B6EE0" w:rsidRDefault="000B6FB6">
      <w:pPr>
        <w:rPr>
          <w:lang w:val="hu-HU"/>
        </w:rPr>
      </w:pPr>
    </w:p>
    <w:sectPr w:rsidR="000B6FB6" w:rsidRPr="002B6EE0" w:rsidSect="00E97355">
      <w:footerReference w:type="default" r:id="rId7"/>
      <w:pgSz w:w="12240" w:h="15840"/>
      <w:pgMar w:top="1276" w:right="1417" w:bottom="1135" w:left="1417" w:header="708" w:footer="31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2D" w:rsidRDefault="00A6552D" w:rsidP="00A6552D">
      <w:r>
        <w:separator/>
      </w:r>
    </w:p>
  </w:endnote>
  <w:endnote w:type="continuationSeparator" w:id="0">
    <w:p w:rsidR="00A6552D" w:rsidRDefault="00A6552D" w:rsidP="00A65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435368"/>
      <w:docPartObj>
        <w:docPartGallery w:val="Page Numbers (Bottom of Page)"/>
        <w:docPartUnique/>
      </w:docPartObj>
    </w:sdtPr>
    <w:sdtContent>
      <w:p w:rsidR="00602F2A" w:rsidRDefault="00C34724">
        <w:pPr>
          <w:pStyle w:val="llb"/>
          <w:jc w:val="right"/>
        </w:pPr>
        <w:r>
          <w:fldChar w:fldCharType="begin"/>
        </w:r>
        <w:r w:rsidR="00602F2A">
          <w:instrText>PAGE   \* MERGEFORMAT</w:instrText>
        </w:r>
        <w:r>
          <w:fldChar w:fldCharType="separate"/>
        </w:r>
        <w:r w:rsidR="00EC7497" w:rsidRPr="00EC7497">
          <w:rPr>
            <w:noProof/>
            <w:lang w:val="hu-HU"/>
          </w:rPr>
          <w:t>2</w:t>
        </w:r>
        <w:r>
          <w:fldChar w:fldCharType="end"/>
        </w:r>
      </w:p>
    </w:sdtContent>
  </w:sdt>
  <w:p w:rsidR="00602F2A" w:rsidRDefault="00602F2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2D" w:rsidRDefault="00A6552D" w:rsidP="00A6552D">
      <w:r>
        <w:separator/>
      </w:r>
    </w:p>
  </w:footnote>
  <w:footnote w:type="continuationSeparator" w:id="0">
    <w:p w:rsidR="00A6552D" w:rsidRDefault="00A6552D" w:rsidP="00A65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47EA"/>
    <w:rsid w:val="000B6FB6"/>
    <w:rsid w:val="00117CB3"/>
    <w:rsid w:val="002B6EE0"/>
    <w:rsid w:val="002F62EE"/>
    <w:rsid w:val="003647D6"/>
    <w:rsid w:val="00567C53"/>
    <w:rsid w:val="005F6380"/>
    <w:rsid w:val="00602F2A"/>
    <w:rsid w:val="00602FBD"/>
    <w:rsid w:val="006515E7"/>
    <w:rsid w:val="00663D86"/>
    <w:rsid w:val="006A6BB6"/>
    <w:rsid w:val="006B491C"/>
    <w:rsid w:val="00753433"/>
    <w:rsid w:val="007A1A27"/>
    <w:rsid w:val="009B1102"/>
    <w:rsid w:val="00A6552D"/>
    <w:rsid w:val="00AC3D24"/>
    <w:rsid w:val="00AD4B60"/>
    <w:rsid w:val="00BA402A"/>
    <w:rsid w:val="00C34724"/>
    <w:rsid w:val="00CA5884"/>
    <w:rsid w:val="00D22A69"/>
    <w:rsid w:val="00E25BBC"/>
    <w:rsid w:val="00E97355"/>
    <w:rsid w:val="00EB244F"/>
    <w:rsid w:val="00EC7497"/>
    <w:rsid w:val="00F047EA"/>
    <w:rsid w:val="00F55F48"/>
    <w:rsid w:val="00FB4F4A"/>
    <w:rsid w:val="00FC7BCB"/>
    <w:rsid w:val="00FE381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8587</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hankisznikolett</cp:lastModifiedBy>
  <cp:revision>2</cp:revision>
  <cp:lastPrinted>2021-01-04T15:17:00Z</cp:lastPrinted>
  <dcterms:created xsi:type="dcterms:W3CDTF">2021-01-06T13:20:00Z</dcterms:created>
  <dcterms:modified xsi:type="dcterms:W3CDTF">2021-01-06T13:20:00Z</dcterms:modified>
</cp:coreProperties>
</file>